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jc w:val="right"/>
        <w:rPr>
          <w:b/>
          <w:bCs/>
          <w:color w:val="000000"/>
          <w:sz w:val="22"/>
          <w:szCs w:val="22"/>
          <w:highlight w:val="none"/>
          <w:shd w:val="clear" w:color="auto" w:fill="ffff00"/>
        </w:rPr>
      </w:pPr>
      <w:r>
        <w:rPr>
          <w:b/>
          <w:bCs/>
          <w:color w:val="000000"/>
          <w:sz w:val="22"/>
          <w:szCs w:val="22"/>
          <w:shd w:val="clear" w:color="auto" w:fill="ffff00"/>
        </w:rPr>
        <w:t xml:space="preserve">[LUOGO E DATA]</w:t>
      </w:r>
      <w:r>
        <w:rPr>
          <w:b/>
          <w:bCs/>
          <w:color w:val="000000"/>
          <w:sz w:val="22"/>
          <w:szCs w:val="22"/>
          <w:highlight w:val="none"/>
          <w:shd w:val="clear" w:color="auto" w:fill="ffff00"/>
        </w:rPr>
      </w:r>
    </w:p>
    <w:p>
      <w:pPr>
        <w:pStyle w:val="64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PROPOSTA DI DELIBERA DEL COMUNE DI </w:t>
      </w:r>
      <w:r>
        <w:rPr>
          <w:rFonts w:ascii="Calibri" w:hAnsi="Calibri"/>
          <w:b/>
          <w:bCs/>
          <w:shd w:val="clear" w:color="auto" w:fill="auto"/>
        </w:rPr>
      </w:r>
      <w:r>
        <w:rPr>
          <w:rFonts w:ascii="Calibri" w:hAnsi="Calibri"/>
          <w:b/>
          <w:bCs/>
          <w:shd w:val="clear" w:color="auto" w:fill="ffff00"/>
        </w:rPr>
        <w:t xml:space="preserve">[</w:t>
      </w:r>
      <w:r>
        <w:rPr>
          <w:rFonts w:ascii="Calibri" w:hAnsi="Calibri"/>
          <w:b/>
          <w:bCs/>
          <w:shd w:val="clear" w:color="auto" w:fill="ffff00"/>
        </w:rPr>
        <w:t xml:space="preserve">NOME COMUNE</w:t>
      </w:r>
      <w:r>
        <w:rPr>
          <w:rFonts w:ascii="Calibri" w:hAnsi="Calibri"/>
          <w:b/>
          <w:bCs/>
          <w:shd w:val="clear" w:color="auto" w:fill="ffff00"/>
        </w:rPr>
        <w:t xml:space="preserve">]</w:t>
      </w:r>
      <w:r/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Style w:val="647"/>
        <w:jc w:val="center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ATTO DI INDIRIZZO IN MATERIA DI COLTIVAZIONE AI FINI SPERIMENTALI DI PIANTE OTTENUTE </w:t>
        <w:br/>
      </w:r>
      <w:r>
        <w:rPr>
          <w:rFonts w:cs="Arial"/>
          <w:b/>
          <w:bCs/>
          <w:color w:val="000000"/>
          <w:sz w:val="22"/>
          <w:szCs w:val="22"/>
        </w:rPr>
      </w:r>
      <w:r>
        <w:rPr>
          <w:rFonts w:cs="Arial"/>
          <w:b/>
          <w:bCs/>
          <w:color w:val="000000"/>
          <w:sz w:val="22"/>
          <w:szCs w:val="22"/>
        </w:rPr>
        <w:t xml:space="preserve">DA EDIZIONE DEL GENOMA (NUOVE TECNICHE GENETICHE - NGT) </w:t>
      </w:r>
      <w:r>
        <w:rPr>
          <w:rFonts w:cs="Arial"/>
          <w:b/>
          <w:bCs/>
          <w:color w:val="000000"/>
          <w:sz w:val="22"/>
          <w:szCs w:val="22"/>
        </w:rPr>
      </w:r>
      <w:r/>
      <w:r>
        <w:rPr>
          <w:rFonts w:cs="Arial"/>
          <w:b/>
          <w:bCs/>
          <w:color w:val="000000"/>
          <w:sz w:val="22"/>
          <w:szCs w:val="22"/>
        </w:rPr>
      </w:r>
    </w:p>
    <w:p>
      <w:pPr>
        <w:pStyle w:val="64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</w:r>
    </w:p>
    <w:p>
      <w:pPr>
        <w:pStyle w:val="64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Il Sindaco Presidente introduce l'argomento e dichiara:</w:t>
      </w:r>
      <w:r>
        <w:rPr>
          <w:rFonts w:cs="Arial"/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PREMESSO CHE:</w:t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Commissione Europea, con il benestare dell’Italia, potrebbe deregolamentare la coltivazione e il commercio di cibo ottenuto da nuove tecnologie di manipolazione genetica, le </w:t>
      </w:r>
      <w:r>
        <w:rPr>
          <w:i/>
          <w:iCs/>
          <w:color w:val="000000"/>
          <w:sz w:val="22"/>
          <w:szCs w:val="22"/>
        </w:rPr>
        <w:t xml:space="preserve">New Genomic Techniques</w:t>
      </w:r>
      <w:r>
        <w:rPr>
          <w:color w:val="000000"/>
          <w:sz w:val="22"/>
          <w:szCs w:val="22"/>
        </w:rPr>
        <w:t xml:space="preserve"> (NGT). P</w:t>
      </w:r>
      <w:r>
        <w:rPr>
          <w:color w:val="000000"/>
          <w:sz w:val="22"/>
          <w:szCs w:val="22"/>
        </w:rPr>
        <w:t xml:space="preserve">resentate come biotecnologie innovative e capaci di modificare il genoma di piante e animali in modo mirato e preciso, le NGT ripropongono in realtà rischi e illusioni che hanno accompagnato negli ultimi trent’anni gli Organismi Geneticamente Modificati (O</w:t>
      </w:r>
      <w:r>
        <w:rPr>
          <w:color w:val="000000"/>
          <w:sz w:val="22"/>
          <w:szCs w:val="22"/>
        </w:rPr>
        <w:t xml:space="preserve">GM) di prima generazione. Il tentativo di deregulation mira ad escludere le NGT dal campo di applicazione della direttiva UE 2001/18, evitando così il processo di valutazione del rischio, tracciabilità ed etichettatura cui sono soggetti per legge gli OGM. </w:t>
      </w:r>
      <w:r>
        <w:rPr>
          <w:color w:val="000000"/>
          <w:sz w:val="22"/>
          <w:szCs w:val="22"/>
        </w:rPr>
        <w:t xml:space="preserve">Parallelamente, il governo italiano sta tentando di legalizzare la sperimentazione in campo aperto, modificando la legislazione attualmente in vigore. Imboccare questa strada rappresenta un pericolo per gli agricoltori e le sementi contadine e  le  varietà</w:t>
      </w:r>
      <w:r>
        <w:rPr>
          <w:color w:val="000000"/>
          <w:sz w:val="22"/>
          <w:szCs w:val="22"/>
        </w:rPr>
        <w:t xml:space="preserve"> tradizionali, oltre che per l’ambiente. Coperte da brevetto industriale, le NGT e i prodotti che ne derivano potrebbero accelerare la già preoccupante concentrazione del mercato sementiero e contaminare campi non coltivati con varietà biotech, realizzando</w:t>
      </w:r>
      <w:r>
        <w:rPr>
          <w:color w:val="000000"/>
          <w:sz w:val="22"/>
          <w:szCs w:val="22"/>
        </w:rPr>
        <w:t xml:space="preserve"> una vera e propria appropriazione indebita della biodiversità contadina e minando alla base la sopravvivenza dell’agricoltura biologica che esclude piante geneticamente modificate, così come la quasi totalità dei prodotti con una denominazione di qualità.</w:t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VISTO: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La </w:t>
      </w:r>
      <w:r>
        <w:rPr>
          <w:rFonts w:cs="Calibri"/>
          <w:i/>
          <w:iCs/>
          <w:color w:val="000000"/>
          <w:sz w:val="22"/>
          <w:szCs w:val="22"/>
        </w:rPr>
        <w:t xml:space="preserve">"Conversione in legge, con modificazioni, del decreto-legge 14 aprile 2023, n. 39, recante disposizioni urgenti per il contrasto della scarsità idrica e per il potenziamento e l'adeguamento delle infrastrutture idriche"</w:t>
      </w:r>
      <w:r>
        <w:rPr>
          <w:rFonts w:cs="Calibri"/>
          <w:color w:val="000000"/>
          <w:sz w:val="22"/>
          <w:szCs w:val="22"/>
        </w:rPr>
        <w:t xml:space="preserve"> (Legge n. 68 del 13 giugno 2023, pubblicata sulla Gazzetta Ufficiale Serie </w:t>
      </w:r>
      <w:r>
        <w:rPr>
          <w:rFonts w:cs="Calibri"/>
          <w:bCs/>
          <w:color w:val="000000"/>
          <w:sz w:val="22"/>
          <w:szCs w:val="22"/>
        </w:rPr>
        <w:t xml:space="preserve">Generale n. 136 del 13/06/2023</w:t>
      </w:r>
      <w:r>
        <w:rPr>
          <w:rFonts w:cs="Calibri"/>
          <w:color w:val="000000"/>
          <w:sz w:val="22"/>
          <w:szCs w:val="22"/>
        </w:rPr>
        <w:t xml:space="preserve"> che prevede </w:t>
      </w:r>
      <w:r>
        <w:rPr>
          <w:color w:val="000000"/>
          <w:sz w:val="22"/>
          <w:szCs w:val="22"/>
        </w:rPr>
        <w:t xml:space="preserve">all’ </w:t>
      </w:r>
      <w:r>
        <w:rPr>
          <w:i/>
          <w:iCs/>
          <w:color w:val="000000"/>
          <w:sz w:val="22"/>
          <w:szCs w:val="22"/>
        </w:rPr>
        <w:t xml:space="preserve">“Art. 9-bis – Disposizioni urgenti in materia di genetica agraria”</w:t>
      </w:r>
      <w:r>
        <w:rPr>
          <w:color w:val="000000"/>
          <w:sz w:val="22"/>
          <w:szCs w:val="22"/>
        </w:rPr>
        <w:t xml:space="preserve">,</w:t>
      </w:r>
      <w:r>
        <w:rPr>
          <w:i/>
          <w:color w:val="000000"/>
          <w:sz w:val="22"/>
          <w:szCs w:val="22"/>
        </w:rPr>
        <w:t xml:space="preserve">“1. Per consentire lo svolgimento delle attività di ricerca  presso  siti sperimentali autorizzati, a sostegno di produzioni  vegetali  in grado di rispondere in mani</w:t>
      </w:r>
      <w:r>
        <w:rPr>
          <w:i/>
          <w:color w:val="000000"/>
          <w:sz w:val="22"/>
          <w:szCs w:val="22"/>
        </w:rPr>
        <w:t xml:space="preserve">era adeguata  a condizioni  di  scarsità idrica e in presenza di stress ambientali e  biotici  di  particolare intensità, nelle more dell'adozione, da parte  dell'Unione  europea, di una disciplina organica in materia, l'autorizzazione all'emissione delibe</w:t>
      </w:r>
      <w:r>
        <w:rPr>
          <w:i/>
          <w:color w:val="000000"/>
          <w:sz w:val="22"/>
          <w:szCs w:val="22"/>
        </w:rPr>
        <w:t xml:space="preserve">rata  nell'ambiente  di  organismi  prodotti  con  tecniche  di editing genomico mediante mutagenesi sito-diretta o  di  cisgenesi  a fini sperimentali e scientifici e' soggetta,  fino  al  31  dicembre 2024, alle disposizioni di cui al presente articolo.”</w:t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CONSIDERANDO: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natura dell’agricoltura del territorio di </w:t>
      </w:r>
      <w:r>
        <w:rPr>
          <w:rFonts w:ascii="Calibri" w:hAnsi="Calibri"/>
          <w:b w:val="0"/>
          <w:bCs w:val="0"/>
          <w:shd w:val="clear" w:color="auto" w:fill="ffff00"/>
        </w:rPr>
        <w:t xml:space="preserve">[</w:t>
      </w:r>
      <w:r>
        <w:rPr>
          <w:rFonts w:ascii="Calibri" w:hAnsi="Calibri"/>
          <w:b w:val="0"/>
          <w:bCs w:val="0"/>
          <w:shd w:val="clear" w:color="auto" w:fill="ffff00"/>
        </w:rPr>
        <w:t xml:space="preserve">NOME COMUNE</w:t>
      </w:r>
      <w:r>
        <w:rPr>
          <w:rFonts w:ascii="Calibri" w:hAnsi="Calibri"/>
          <w:b w:val="0"/>
          <w:bCs w:val="0"/>
          <w:shd w:val="clear" w:color="auto" w:fill="ffff00"/>
        </w:rPr>
        <w:t xml:space="preserve">]</w:t>
      </w:r>
      <w:r>
        <w:rPr>
          <w:color w:val="000000"/>
          <w:sz w:val="22"/>
          <w:szCs w:val="22"/>
        </w:rPr>
        <w:t xml:space="preserve">, diversificata e caratterizzata da aziende di piccola dimensione, </w:t>
      </w:r>
      <w:r>
        <w:rPr>
          <w:color w:val="000000"/>
          <w:sz w:val="22"/>
          <w:szCs w:val="22"/>
          <w:shd w:val="clear" w:color="auto" w:fill="ffffff"/>
        </w:rPr>
        <w:t xml:space="preserve">e l’</w:t>
      </w:r>
      <w:r>
        <w:rPr>
          <w:color w:val="000000"/>
          <w:sz w:val="22"/>
          <w:szCs w:val="22"/>
        </w:rPr>
        <w:t xml:space="preserve">importanza economica e sociale della tenuta del suo tessuto produttivo;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pericolo per gli a</w:t>
      </w:r>
      <w:r>
        <w:rPr>
          <w:color w:val="000000"/>
          <w:sz w:val="22"/>
          <w:szCs w:val="22"/>
        </w:rPr>
        <w:t xml:space="preserve">gricoltori e le sementi contadine, oltre che per l’ambiente: coperte da brevetto industriale, le NGT e i prodotti che ne derivano potrebbero accelerare la già preoccupante concentrazione del mercato sementiero e contaminare campi non coltivati con varietà </w:t>
      </w:r>
      <w:r>
        <w:rPr>
          <w:i/>
          <w:iCs/>
          <w:color w:val="000000"/>
          <w:sz w:val="22"/>
          <w:szCs w:val="22"/>
        </w:rPr>
        <w:t xml:space="preserve">biotech</w:t>
      </w:r>
      <w:r>
        <w:rPr>
          <w:color w:val="000000"/>
          <w:sz w:val="22"/>
          <w:szCs w:val="22"/>
        </w:rPr>
        <w:t xml:space="preserve">, realizzando una vera e propria appropriazione indebita della biodiversità contadina e minando alla base la sopravvivenza dell’agricoltura biologica;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L’interesse strate</w:t>
      </w:r>
      <w:r>
        <w:rPr>
          <w:color w:val="000000"/>
          <w:sz w:val="22"/>
          <w:szCs w:val="22"/>
        </w:rPr>
        <w:t xml:space="preserve">gico del settore agroalimentare per lo sviluppo economico e sociale del comune di </w:t>
      </w:r>
      <w:r>
        <w:rPr>
          <w:rFonts w:ascii="Calibri" w:hAnsi="Calibri"/>
          <w:b w:val="0"/>
          <w:bCs w:val="0"/>
          <w:shd w:val="clear" w:color="auto" w:fill="ffff00"/>
        </w:rPr>
        <w:t xml:space="preserve">[</w:t>
      </w:r>
      <w:r>
        <w:rPr>
          <w:rFonts w:ascii="Calibri" w:hAnsi="Calibri"/>
          <w:b w:val="0"/>
          <w:bCs w:val="0"/>
          <w:shd w:val="clear" w:color="auto" w:fill="ffff00"/>
        </w:rPr>
        <w:t xml:space="preserve">NOME COMUNE</w:t>
      </w:r>
      <w:r>
        <w:rPr>
          <w:rFonts w:ascii="Calibri" w:hAnsi="Calibri"/>
          <w:b w:val="0"/>
          <w:bCs w:val="0"/>
          <w:shd w:val="clear" w:color="auto" w:fill="ffff00"/>
        </w:rPr>
        <w:t xml:space="preserve">]</w:t>
      </w:r>
      <w:r>
        <w:rPr>
          <w:color w:val="000000"/>
          <w:sz w:val="22"/>
          <w:szCs w:val="22"/>
        </w:rPr>
        <w:t xml:space="preserve">, l’importanza della salvaguardia ambientale e della biodiversità agronomica, la scelta operata dai cittadini italiani di mantenere l’Italia come paese “libero da OGM”;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salvaguardia della salute dei cittadini di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/>
        </w:rPr>
      </w:r>
      <w:r>
        <w:rPr>
          <w:rFonts w:ascii="Calibri" w:hAnsi="Calibri"/>
          <w:shd w:val="clear" w:color="auto" w:fill="ffff00"/>
        </w:rPr>
        <w:t xml:space="preserve">[NOME COMUNE]</w:t>
      </w:r>
      <w:r>
        <w:rPr>
          <w:rFonts w:ascii="Calibri" w:hAnsi="Calibri"/>
        </w:rPr>
        <w:t xml:space="preserve">,</w:t>
      </w:r>
      <w:r>
        <w:rPr>
          <w:rFonts w:ascii="Calibri" w:hAnsi="Calibri"/>
          <w:color w:val="000000"/>
          <w:shd w:val="clear" w:color="auto" w:fill="auto"/>
        </w:rPr>
        <w:t xml:space="preserve"> </w:t>
      </w:r>
      <w:r>
        <w:rPr>
          <w:rFonts w:ascii="Calibri" w:hAnsi="Calibri"/>
          <w:color w:val="000000"/>
          <w:shd w:val="clear" w:color="auto" w:fill="ffff00"/>
        </w:rPr>
        <w:t xml:space="preserve">[FACOLTATIVO: </w:t>
      </w:r>
      <w:r>
        <w:rPr>
          <w:rFonts w:ascii="Calibri" w:hAnsi="Calibri"/>
          <w:color w:val="000000"/>
          <w:shd w:val="clear" w:color="auto" w:fill="ffff00"/>
        </w:rPr>
        <w:t xml:space="preserve">e dei numerosi turisti stimati intorno ai </w:t>
      </w:r>
      <w:r>
        <w:rPr>
          <w:rFonts w:ascii="Calibri" w:hAnsi="Calibri"/>
          <w:color w:val="000000"/>
          <w:shd w:val="clear" w:color="auto" w:fill="ffff00"/>
        </w:rPr>
        <w:t xml:space="preserve">[  ]</w:t>
      </w:r>
      <w:r>
        <w:rPr>
          <w:rFonts w:ascii="Calibri" w:hAnsi="Calibri"/>
          <w:color w:val="000000"/>
          <w:shd w:val="clear" w:color="auto" w:fill="ffff00"/>
        </w:rPr>
        <w:t xml:space="preserve"> di pernottamenti all’anno</w:t>
      </w:r>
      <w:r>
        <w:rPr>
          <w:rFonts w:ascii="Calibri" w:hAnsi="Calibri"/>
          <w:color w:val="000000"/>
          <w:shd w:val="clear" w:color="auto" w:fill="ffff00"/>
        </w:rPr>
        <w:t xml:space="preserve">]</w:t>
      </w:r>
      <w:r/>
      <w:r>
        <w:rPr>
          <w:color w:val="000000"/>
          <w:sz w:val="22"/>
          <w:szCs w:val="22"/>
          <w:shd w:val="clear" w:color="auto" w:fill="ffffff"/>
        </w:rPr>
        <w:t xml:space="preserve">,</w:t>
      </w:r>
      <w:r>
        <w:rPr>
          <w:color w:val="000000"/>
          <w:sz w:val="22"/>
          <w:szCs w:val="22"/>
        </w:rPr>
        <w:t xml:space="preserve"> in particolare soggetti fragili bambini e persone anziane;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mancata valutazione – prevista dalla legislazione italiana – degli impatti socio-economici delle colture ottenute con l’edizione del genoma;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Gli effetti indiretti e a lungo termine delle modificazione apportate alle piante non sono stati adeguatamente valutati (rendendo inefficace l’applicazione del principio di precauzione);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rottura (contaminazione)</w:t>
      </w:r>
      <w:r>
        <w:rPr>
          <w:color w:val="000000"/>
          <w:sz w:val="22"/>
          <w:szCs w:val="22"/>
        </w:rPr>
        <w:t xml:space="preserve"> che l’introduzione di OGM deregolamentati produrrebbe su sistemi produttivi consolidati che vivono grazie alla realizzazione di una produzione con scarsa dipendenza dal mercato degli input di produzione (scarsa capitalizzazione e ridotto flusso di cassa);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Lo scarso significato delle valutazioni d’impatto dei prodotti NGT fatte in laboratorio, e delle affermazioni relative alla loro “sostanziale equivalenza” con prodotti attenuti da una creazione varietale</w:t>
      </w:r>
      <w:r>
        <w:rPr>
          <w:color w:val="000000"/>
          <w:sz w:val="22"/>
          <w:szCs w:val="22"/>
        </w:rPr>
        <w:t xml:space="preserve"> tradizionale o dalla selezione contadina, non hanno un gran significato poiché non tengono conto della struttura produttiva del comparto agricolo, né tengono conto – in nessun modo – dell’impatto economico su una grande maggioranza delle aziende agricole.</w:t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RILEVANDO IN PARTICOLARE CHE: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disastro commerciale che potrebbe causare ai viticoltori il rischio di un minimo accenno alla possibile presenza di OGM nei loro vini, visto che dal 19</w:t>
      </w:r>
      <w:r>
        <w:rPr>
          <w:color w:val="000000"/>
          <w:sz w:val="22"/>
          <w:szCs w:val="22"/>
        </w:rPr>
        <w:t xml:space="preserve">87 studi hanno dimostrato che i "prodotti" transgenici sono stati trasmessi in quantità molto elevate dal portainnesto all'innesto (INRA, Francia). La manipolazione genetica del portainnesto crea un rischio particolarmente elevato di ricombinazione virale;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contaminazione tra i campi sperimentali in cui coltivare</w:t>
      </w:r>
      <w:r>
        <w:rPr>
          <w:color w:val="000000"/>
          <w:sz w:val="22"/>
          <w:szCs w:val="22"/>
        </w:rPr>
        <w:t xml:space="preserve"> i prodotti delle NGT eventuali ed i campi coltivati è un’evidenza che è stata a lungo provata dai lontani anni 2000, sia in Europa che negli USA, dove già nel 2006 la Bayer è stata condannata per la contaminazione da OGM di raccolti di riso convenzionale;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Vari episodi di contaminazione di campi da OGM sono stati rilevati dalle autorità anche in Italia, già dal 2011 (ARSIAL, Lazio);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 xml:space="preserve">E’ dimostrato che l'editing CRISPR-Cas9 può introdurre mutazioni indesiderate in vivo, che vengono trasmesse alla generazione successiva (</w:t>
      </w:r>
      <w:hyperlink r:id="rId9" w:tooltip="https://www.nature.com/articles/s41467-022-28244-5" w:history="1">
        <w:r>
          <w:rPr>
            <w:rStyle w:val="641"/>
            <w:color w:val="000000"/>
            <w:sz w:val="22"/>
            <w:szCs w:val="22"/>
          </w:rPr>
          <w:t xml:space="preserve">https://www.nature.com/articles/s41467-022-28244-5</w:t>
        </w:r>
      </w:hyperlink>
      <w:r>
        <w:rPr>
          <w:color w:val="000000"/>
          <w:sz w:val="22"/>
          <w:szCs w:val="22"/>
        </w:rPr>
        <w:t xml:space="preserve">).</w:t>
      </w:r>
      <w:r/>
    </w:p>
    <w:p>
      <w:pPr>
        <w:pStyle w:val="6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RICORDANDO CHE: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sentenza del Consiglio di Stato, sez. III, 4 marzo 2013 n. 1281, riporta </w:t>
      </w:r>
      <w:r>
        <w:rPr>
          <w:i/>
          <w:iCs/>
          <w:color w:val="000000"/>
          <w:sz w:val="22"/>
          <w:szCs w:val="22"/>
        </w:rPr>
        <w:t xml:space="preserve">“in ogni caso il principio di precauzione affida alle autorità competenti il comp</w:t>
      </w:r>
      <w:r>
        <w:rPr>
          <w:i/>
          <w:iCs/>
          <w:color w:val="000000"/>
          <w:sz w:val="22"/>
          <w:szCs w:val="22"/>
        </w:rPr>
        <w:t xml:space="preserve">ito di prevenire il verificarsi o il ripetersi di danni ambientali ma lascia alle stesse ampi margini di discrezionalità in ordine all’individuazione delle misure più efficaci, economiche ed efficienti in relazione a tutte le circostanze del caso concreto”</w:t>
      </w:r>
      <w:r>
        <w:rPr>
          <w:color w:val="000000"/>
          <w:sz w:val="22"/>
          <w:szCs w:val="22"/>
        </w:rPr>
        <w:t xml:space="preserve"> (par. 9.1.4.2., lett.e);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I</w:t>
      </w:r>
      <w:r>
        <w:rPr>
          <w:color w:val="000000"/>
          <w:sz w:val="22"/>
          <w:szCs w:val="22"/>
        </w:rPr>
        <w:t xml:space="preserve">n particolare, i giudici del TAR hanno concluso che </w:t>
      </w:r>
      <w:r>
        <w:rPr>
          <w:i/>
          <w:iCs/>
          <w:color w:val="000000"/>
          <w:sz w:val="22"/>
          <w:szCs w:val="22"/>
        </w:rPr>
        <w:t xml:space="preserve">“dal principio di precauzione dis</w:t>
      </w:r>
      <w:r>
        <w:rPr>
          <w:i/>
          <w:iCs/>
          <w:color w:val="000000"/>
          <w:sz w:val="22"/>
          <w:szCs w:val="22"/>
        </w:rPr>
        <w:t xml:space="preserve">cende che, quando sussistono incertezze riguardo all’esistenza o alla portata di rischi per la salute delle persone, possono essere adottate misure protettive senza dover attendere che siano esaurientemente dimostrate la realtà e la gravità di tali rischi”</w:t>
      </w:r>
      <w:r>
        <w:rPr>
          <w:color w:val="000000"/>
          <w:sz w:val="22"/>
          <w:szCs w:val="22"/>
        </w:rPr>
        <w:t xml:space="preserve"> (sezione IIIQ del TAR Lazio, 2013).</w:t>
      </w:r>
      <w:r>
        <w:rPr>
          <w:color w:val="000000"/>
          <w:sz w:val="22"/>
          <w:szCs w:val="22"/>
        </w:rPr>
      </w:r>
    </w:p>
    <w:p>
      <w:pPr>
        <w:pStyle w:val="647"/>
        <w:numPr>
          <w:ilvl w:val="0"/>
          <w:numId w:val="0"/>
        </w:numPr>
        <w:ind w:left="72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6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RITENUTO pertanto di prendere in esame qu</w:t>
      </w:r>
      <w:r>
        <w:rPr>
          <w:color w:val="000000"/>
          <w:sz w:val="22"/>
          <w:szCs w:val="22"/>
        </w:rPr>
        <w:t xml:space="preserve">anto di competenza, contro l'introduzione in agricoltura degli Organismi Geneticamente Modificati di vecchia o nuova realizzazione (prodotti dell’edizione del genoma), anche in campi sperimentali, che possano contaminare le colture del territorio comunale.</w:t>
      </w:r>
      <w:r>
        <w:rPr>
          <w:color w:val="000000"/>
          <w:sz w:val="22"/>
          <w:szCs w:val="22"/>
        </w:rPr>
      </w:r>
    </w:p>
    <w:p>
      <w:pPr>
        <w:pStyle w:val="6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ATTESO che la presente deliberazione non necessita dei pareri di regolarità tecnica e contabile, stante la sua natura politica programmatica che non comporta impegni di spesa.</w:t>
      </w:r>
      <w:r>
        <w:rPr>
          <w:color w:val="000000"/>
          <w:sz w:val="22"/>
          <w:szCs w:val="22"/>
        </w:rPr>
      </w:r>
    </w:p>
    <w:p>
      <w:pPr>
        <w:pStyle w:val="647"/>
        <w:jc w:val="both"/>
        <w:rPr>
          <w:rFonts w:ascii="Calibri" w:hAnsi="Calibri" w:cs="Calibri"/>
          <w:b/>
          <w:bCs/>
        </w:rPr>
      </w:pPr>
      <w:r>
        <w:rPr>
          <w:rFonts w:cs="Calibri"/>
          <w:b/>
          <w:bCs/>
        </w:rPr>
      </w:r>
      <w:r>
        <w:rPr>
          <w:rFonts w:ascii="Calibri" w:hAnsi="Calibri" w:cs="Calibri"/>
          <w:b/>
          <w:bCs/>
        </w:rPr>
      </w:r>
    </w:p>
    <w:p>
      <w:pPr>
        <w:pStyle w:val="647"/>
        <w:jc w:val="center"/>
        <w:rPr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DELIBERA</w:t>
      </w:r>
      <w:r>
        <w:rPr>
          <w:color w:val="000000"/>
          <w:sz w:val="22"/>
          <w:szCs w:val="22"/>
        </w:rPr>
      </w:r>
    </w:p>
    <w:p>
      <w:pPr>
        <w:pStyle w:val="648"/>
        <w:numPr>
          <w:ilvl w:val="0"/>
          <w:numId w:val="7"/>
        </w:numPr>
        <w:spacing w:before="280" w:after="0"/>
        <w:rPr>
          <w:color w:val="000000"/>
          <w:sz w:val="22"/>
          <w:szCs w:val="22"/>
        </w:rPr>
        <w:outlineLvl w:val="0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Di dichiarare il Comune di </w:t>
      </w:r>
      <w:r>
        <w:rPr>
          <w:rFonts w:ascii="Calibri" w:hAnsi="Calibri"/>
          <w:b/>
          <w:bCs/>
          <w:shd w:val="clear" w:color="auto" w:fill="auto"/>
        </w:rPr>
      </w:r>
      <w:r>
        <w:rPr>
          <w:rFonts w:ascii="Calibri" w:hAnsi="Calibri"/>
          <w:b/>
          <w:bCs/>
          <w:shd w:val="clear" w:color="auto" w:fill="ffff00"/>
        </w:rPr>
        <w:t xml:space="preserve">[</w:t>
      </w:r>
      <w:r>
        <w:rPr>
          <w:rFonts w:ascii="Calibri" w:hAnsi="Calibri"/>
          <w:b/>
          <w:bCs/>
          <w:shd w:val="clear" w:color="auto" w:fill="ffff00"/>
        </w:rPr>
        <w:t xml:space="preserve">NOME COMUNE</w:t>
      </w:r>
      <w:r>
        <w:rPr>
          <w:rFonts w:ascii="Calibri" w:hAnsi="Calibri"/>
          <w:b/>
          <w:bCs/>
          <w:shd w:val="clear" w:color="auto" w:fill="ffff00"/>
        </w:rPr>
        <w:t xml:space="preserve">]</w:t>
      </w:r>
      <w:r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"Comune libero da OGM";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</w:r>
    </w:p>
    <w:p>
      <w:pPr>
        <w:pStyle w:val="648"/>
        <w:numPr>
          <w:ilvl w:val="0"/>
          <w:numId w:val="8"/>
        </w:numPr>
        <w:jc w:val="both"/>
        <w:spacing w:before="0" w:after="280"/>
        <w:rPr>
          <w:rFonts w:ascii="Calibri" w:hAnsi="Calibri" w:cs="Calibri"/>
          <w:color w:val="000000"/>
          <w:sz w:val="22"/>
          <w:szCs w:val="22"/>
        </w:rPr>
        <w:outlineLvl w:val="0"/>
      </w:pPr>
      <w:r>
        <w:rPr>
          <w:rFonts w:ascii="Calibri" w:hAnsi="Calibri" w:cs="Calibri"/>
          <w:color w:val="000000"/>
          <w:sz w:val="22"/>
          <w:szCs w:val="22"/>
        </w:rPr>
        <w:t xml:space="preserve">Di affiggere sotto i cartelli del Comune la scritta "Comune libero da OGM";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48"/>
        <w:numPr>
          <w:ilvl w:val="0"/>
          <w:numId w:val="9"/>
        </w:numPr>
        <w:jc w:val="both"/>
        <w:spacing w:before="0" w:after="280"/>
        <w:rPr>
          <w:rFonts w:ascii="Calibri" w:hAnsi="Calibri" w:cs="Calibri"/>
          <w:color w:val="000000"/>
          <w:sz w:val="22"/>
          <w:szCs w:val="22"/>
        </w:rPr>
        <w:outlineLvl w:val="0"/>
      </w:pPr>
      <w:r>
        <w:rPr>
          <w:rFonts w:ascii="Calibri" w:hAnsi="Calibri" w:cs="Calibri"/>
          <w:color w:val="000000"/>
          <w:sz w:val="22"/>
          <w:szCs w:val="22"/>
        </w:rPr>
        <w:t xml:space="preserve">Di vietare su tutto il territorio comunale la sperimentazione, coltivazione e allevamento di organismi viventi, sia vegetali che animali, ottenuti mediante ingegneria  genetica, compresa l’edizione del genoma e di in</w:t>
      </w:r>
      <w:r>
        <w:rPr>
          <w:rFonts w:ascii="Calibri" w:hAnsi="Calibri" w:cs="Calibri"/>
          <w:color w:val="000000"/>
          <w:sz w:val="22"/>
          <w:szCs w:val="22"/>
        </w:rPr>
        <w:t xml:space="preserve">serire nel Capitolato delle mense scolastiche il divieto di somministrazione di prodotti contenenti tali organismi Di vietare su tutto il territorio comunale la sperimentazione e l’utilizzo di pesticidi ARNi detti anche pesticidi genetici o “biopesticidi”;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48"/>
        <w:numPr>
          <w:ilvl w:val="0"/>
          <w:numId w:val="10"/>
        </w:numPr>
        <w:jc w:val="both"/>
        <w:spacing w:before="0" w:after="280"/>
        <w:rPr>
          <w:rFonts w:ascii="Calibri" w:hAnsi="Calibri" w:cs="Calibri"/>
          <w:color w:val="000000"/>
          <w:sz w:val="22"/>
          <w:szCs w:val="22"/>
        </w:rPr>
        <w:outlineLvl w:val="0"/>
      </w:pPr>
      <w:r>
        <w:rPr>
          <w:rFonts w:ascii="Calibri" w:hAnsi="Calibri" w:cs="Calibri"/>
          <w:color w:val="000000"/>
          <w:sz w:val="22"/>
          <w:szCs w:val="22"/>
        </w:rPr>
        <w:t xml:space="preserve">Di creare un apposito coordinamento comunale per perseguire i seguenti obiettivi:</w:t>
      </w:r>
      <w:r>
        <w:rPr>
          <w:rFonts w:ascii="Calibri" w:hAnsi="Calibri" w:cs="Calibri"/>
          <w:color w:val="000000"/>
          <w:sz w:val="22"/>
          <w:szCs w:val="22"/>
        </w:rPr>
      </w:r>
    </w:p>
    <w:p>
      <w:pPr>
        <w:pStyle w:val="647"/>
        <w:numPr>
          <w:ilvl w:val="0"/>
          <w:numId w:val="11"/>
        </w:numPr>
        <w:jc w:val="both"/>
        <w:rPr>
          <w:rFonts w:cs="Calibri"/>
          <w:color w:val="000000"/>
          <w:sz w:val="22"/>
          <w:szCs w:val="22"/>
        </w:rPr>
        <w:outlineLvl w:val="0"/>
      </w:pPr>
      <w:r>
        <w:rPr>
          <w:rFonts w:cs="Calibri"/>
          <w:color w:val="000000"/>
          <w:sz w:val="22"/>
          <w:szCs w:val="22"/>
        </w:rPr>
        <w:t xml:space="preserve">Informare, attraverso incontri, manifesti e comunicazioni scritte tutte le aziende che operano nel campo agroalimentare del territorio comunale sui rischi di utilizzo OG</w:t>
      </w:r>
      <w:r>
        <w:rPr>
          <w:rFonts w:cs="Calibri"/>
          <w:color w:val="000000"/>
          <w:sz w:val="22"/>
          <w:szCs w:val="22"/>
        </w:rPr>
        <w:t xml:space="preserve">M, ed in particolare di prodotti ottenuti con l’edizione del genoma, nella catena produttiva.         Informare i rivenditori presenti sul territorio comunale sui rischi di vendita di alimenti di aziende che utilizzano prodotti OGM nella catena produttiva;</w:t>
      </w:r>
      <w:r>
        <w:rPr>
          <w:rFonts w:cs="Calibri"/>
          <w:color w:val="000000"/>
          <w:sz w:val="22"/>
          <w:szCs w:val="22"/>
        </w:rPr>
      </w:r>
    </w:p>
    <w:p>
      <w:pPr>
        <w:pStyle w:val="647"/>
        <w:numPr>
          <w:ilvl w:val="0"/>
          <w:numId w:val="12"/>
        </w:numPr>
        <w:jc w:val="both"/>
        <w:rPr>
          <w:rFonts w:cs="Calibri"/>
          <w:color w:val="000000"/>
          <w:sz w:val="22"/>
          <w:szCs w:val="22"/>
        </w:rPr>
        <w:outlineLvl w:val="0"/>
      </w:pPr>
      <w:r>
        <w:rPr>
          <w:rFonts w:cs="Calibri"/>
          <w:color w:val="000000"/>
          <w:sz w:val="22"/>
          <w:szCs w:val="22"/>
        </w:rPr>
        <w:t xml:space="preserve">Informare i cittadini, sui rischi legati al consumo di prodotti ottenuti con OGM ed avviare una seria campagna di educazione alimentare legata al consumo di prodotti tradizionali di qualità;</w:t>
      </w:r>
      <w:r>
        <w:rPr>
          <w:rFonts w:cs="Calibri"/>
          <w:color w:val="000000"/>
          <w:sz w:val="22"/>
          <w:szCs w:val="22"/>
        </w:rPr>
      </w:r>
    </w:p>
    <w:p>
      <w:pPr>
        <w:pStyle w:val="647"/>
        <w:numPr>
          <w:ilvl w:val="0"/>
          <w:numId w:val="13"/>
        </w:numPr>
        <w:jc w:val="both"/>
        <w:rPr>
          <w:rFonts w:cs="Calibri"/>
          <w:color w:val="000000"/>
          <w:sz w:val="22"/>
          <w:szCs w:val="22"/>
        </w:rPr>
        <w:outlineLvl w:val="0"/>
      </w:pPr>
      <w:r>
        <w:rPr>
          <w:rFonts w:cs="Calibri"/>
          <w:color w:val="000000"/>
          <w:sz w:val="22"/>
          <w:szCs w:val="22"/>
        </w:rPr>
        <w:t xml:space="preserve">Prevedere un'efficace promozione dei prodotti locali divulgando in modo efficace il messaggio contro i prodotti geneticamente modificati;</w:t>
      </w:r>
      <w:r>
        <w:rPr>
          <w:rFonts w:cs="Calibri"/>
          <w:color w:val="000000"/>
          <w:sz w:val="22"/>
          <w:szCs w:val="22"/>
        </w:rPr>
      </w:r>
    </w:p>
    <w:p>
      <w:pPr>
        <w:pStyle w:val="648"/>
        <w:numPr>
          <w:ilvl w:val="0"/>
          <w:numId w:val="14"/>
        </w:numPr>
        <w:jc w:val="both"/>
        <w:spacing w:before="280" w:after="280"/>
        <w:rPr>
          <w:rFonts w:ascii="Calibri" w:hAnsi="Calibri" w:cs="Calibri"/>
          <w:color w:val="000000"/>
          <w:sz w:val="22"/>
          <w:szCs w:val="22"/>
        </w:rPr>
        <w:outlineLvl w:val="0"/>
      </w:pPr>
      <w:r>
        <w:rPr>
          <w:rFonts w:ascii="Calibri" w:hAnsi="Calibri" w:cs="Calibri"/>
          <w:color w:val="000000"/>
          <w:sz w:val="22"/>
          <w:szCs w:val="22"/>
        </w:rPr>
        <w:t xml:space="preserve">Dichiarare la presente deliberazione immediatamente eseguibile a seguito di separata unanime votazione, ai sensi dell'art.134 c.4 del D.L.gs.267/2000.</w:t>
      </w:r>
      <w:r>
        <w:rPr>
          <w:rFonts w:ascii="Calibri" w:hAnsi="Calibri" w:cs="Calibri"/>
          <w:color w:val="000000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OpenSymbol">
    <w:panose1 w:val="05010000000000000000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Calibri">
    <w:panose1 w:val="020F0502020204030204"/>
  </w:font>
  <w:font w:name="OpenSymbol;Calibri">
    <w:panose1 w:val="05010000000000000000"/>
  </w:font>
  <w:font w:name="Symbol">
    <w:panose1 w:val="05050102010706020507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432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4680" w:hanging="360"/>
        <w:tabs>
          <w:tab w:val="num" w:pos="0" w:leader="none"/>
        </w:tabs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Calibri" w:hAnsi="Calibri" w:cs="Calibri"/>
      </w:rPr>
    </w:lvl>
    <w:lvl w:ilvl="1">
      <w:start w:val="0"/>
      <w:numFmt w:val="decimal"/>
      <w:isLgl w:val="false"/>
      <w:suff w:val="tab"/>
      <w:lvlText w:val="%2"/>
      <w:lvlJc w:val="left"/>
      <w:pPr>
        <w:ind w:left="0" w:firstLine="0"/>
        <w:tabs>
          <w:tab w:val="num" w:pos="0" w:leader="none"/>
        </w:tabs>
      </w:pPr>
    </w:lvl>
    <w:lvl w:ilvl="2">
      <w:start w:val="0"/>
      <w:numFmt w:val="decimal"/>
      <w:isLgl w:val="false"/>
      <w:suff w:val="tab"/>
      <w:lvlText w:val="%3"/>
      <w:lvlJc w:val="left"/>
      <w:pPr>
        <w:ind w:left="0" w:firstLine="0"/>
        <w:tabs>
          <w:tab w:val="num" w:pos="0" w:leader="none"/>
        </w:tabs>
      </w:pPr>
    </w:lvl>
    <w:lvl w:ilvl="3">
      <w:start w:val="0"/>
      <w:numFmt w:val="decimal"/>
      <w:isLgl w:val="false"/>
      <w:suff w:val="tab"/>
      <w:lvlText w:val="%4"/>
      <w:lvlJc w:val="left"/>
      <w:pPr>
        <w:ind w:left="0" w:firstLine="0"/>
        <w:tabs>
          <w:tab w:val="num" w:pos="0" w:leader="none"/>
        </w:tabs>
      </w:pPr>
    </w:lvl>
    <w:lvl w:ilvl="4">
      <w:start w:val="0"/>
      <w:numFmt w:val="decimal"/>
      <w:isLgl w:val="false"/>
      <w:suff w:val="tab"/>
      <w:lvlText w:val="%5"/>
      <w:lvlJc w:val="left"/>
      <w:pPr>
        <w:ind w:left="0" w:firstLine="0"/>
        <w:tabs>
          <w:tab w:val="num" w:pos="0" w:leader="none"/>
        </w:tabs>
      </w:pPr>
    </w:lvl>
    <w:lvl w:ilvl="5">
      <w:start w:val="0"/>
      <w:numFmt w:val="decimal"/>
      <w:isLgl w:val="false"/>
      <w:suff w:val="tab"/>
      <w:lvlText w:val="%6"/>
      <w:lvlJc w:val="left"/>
      <w:pPr>
        <w:ind w:left="0" w:firstLine="0"/>
        <w:tabs>
          <w:tab w:val="num" w:pos="0" w:leader="none"/>
        </w:tabs>
      </w:pPr>
    </w:lvl>
    <w:lvl w:ilvl="6">
      <w:start w:val="0"/>
      <w:numFmt w:val="decimal"/>
      <w:isLgl w:val="false"/>
      <w:suff w:val="tab"/>
      <w:lvlText w:val="%7"/>
      <w:lvlJc w:val="left"/>
      <w:pPr>
        <w:ind w:left="0" w:firstLine="0"/>
        <w:tabs>
          <w:tab w:val="num" w:pos="0" w:leader="none"/>
        </w:tabs>
      </w:pPr>
    </w:lvl>
    <w:lvl w:ilvl="7">
      <w:start w:val="0"/>
      <w:numFmt w:val="decimal"/>
      <w:isLgl w:val="false"/>
      <w:suff w:val="tab"/>
      <w:lvlText w:val="%8"/>
      <w:lvlJc w:val="left"/>
      <w:pPr>
        <w:ind w:left="0" w:firstLine="0"/>
        <w:tabs>
          <w:tab w:val="num" w:pos="0" w:leader="none"/>
        </w:tabs>
      </w:pPr>
    </w:lvl>
    <w:lvl w:ilvl="8">
      <w:start w:val="0"/>
      <w:numFmt w:val="decimal"/>
      <w:isLgl w:val="false"/>
      <w:suff w:val="tab"/>
      <w:lvlText w:val="%9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432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4680" w:hanging="360"/>
        <w:tabs>
          <w:tab w:val="num" w:pos="0" w:leader="none"/>
        </w:tabs>
      </w:pPr>
      <w:rPr>
        <w:rFonts w:hint="default" w:ascii="OpenSymbol" w:hAnsi="OpenSymbol" w:cs="OpenSymbol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Calibri" w:hAnsi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  <w:num w:numId="10">
    <w:abstractNumId w:val="3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6"/>
    <w:next w:val="63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45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  <w:pPr>
      <w:jc w:val="left"/>
      <w:spacing w:before="0" w:after="0"/>
      <w:widowControl/>
    </w:pPr>
    <w:rPr>
      <w:rFonts w:ascii="Liberation Serif" w:hAnsi="Liberation Serif" w:eastAsia="NSimSun" w:cs="Arial"/>
      <w:color w:val="auto"/>
      <w:sz w:val="24"/>
      <w:szCs w:val="24"/>
      <w:lang w:val="it-IT" w:eastAsia="zh-CN" w:bidi="hi-IN"/>
    </w:rPr>
  </w:style>
  <w:style w:type="character" w:styleId="637">
    <w:name w:val="WW8Num2z0"/>
    <w:qFormat/>
    <w:rPr>
      <w:rFonts w:ascii="Symbol" w:hAnsi="Symbol" w:cs="Symbol"/>
    </w:rPr>
  </w:style>
  <w:style w:type="character" w:styleId="638">
    <w:name w:val="WW8Num2z1"/>
    <w:qFormat/>
    <w:rPr>
      <w:rFonts w:ascii="OpenSymbol;Calibri" w:hAnsi="OpenSymbol;Calibri" w:cs="OpenSymbol;Calibri"/>
    </w:rPr>
  </w:style>
  <w:style w:type="character" w:styleId="639">
    <w:name w:val="Rimando commento"/>
    <w:qFormat/>
    <w:rPr>
      <w:sz w:val="16"/>
      <w:szCs w:val="16"/>
    </w:rPr>
  </w:style>
  <w:style w:type="character" w:styleId="640">
    <w:name w:val="WW8Num3z0"/>
    <w:qFormat/>
    <w:rPr>
      <w:rFonts w:ascii="Calibri" w:hAnsi="Calibri" w:cs="Calibri"/>
    </w:rPr>
  </w:style>
  <w:style w:type="character" w:styleId="641">
    <w:name w:val="Collegamento Internet"/>
    <w:qFormat/>
    <w:rPr>
      <w:color w:val="000080"/>
      <w:u w:val="single"/>
    </w:rPr>
  </w:style>
  <w:style w:type="paragraph" w:styleId="642">
    <w:name w:val="Titolo"/>
    <w:basedOn w:val="636"/>
    <w:next w:val="64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643">
    <w:name w:val="Body Text"/>
    <w:basedOn w:val="636"/>
    <w:pPr>
      <w:spacing w:before="0" w:after="140" w:line="276" w:lineRule="auto"/>
    </w:pPr>
  </w:style>
  <w:style w:type="paragraph" w:styleId="644">
    <w:name w:val="List"/>
    <w:basedOn w:val="643"/>
    <w:rPr>
      <w:rFonts w:cs="Arial"/>
    </w:rPr>
  </w:style>
  <w:style w:type="paragraph" w:styleId="645">
    <w:name w:val="Caption"/>
    <w:basedOn w:val="63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46">
    <w:name w:val="Indice"/>
    <w:basedOn w:val="636"/>
    <w:qFormat/>
    <w:pPr>
      <w:suppressLineNumbers/>
    </w:pPr>
    <w:rPr>
      <w:rFonts w:cs="Arial"/>
    </w:rPr>
  </w:style>
  <w:style w:type="paragraph" w:styleId="647">
    <w:name w:val="Standard"/>
    <w:qFormat/>
    <w:pPr>
      <w:jc w:val="left"/>
      <w:spacing w:before="0" w:after="160" w:line="252" w:lineRule="auto"/>
      <w:widowControl/>
    </w:pPr>
    <w:rPr>
      <w:rFonts w:ascii="Calibri" w:hAnsi="Calibri" w:eastAsia="Calibri" w:cs="Times New Roman"/>
      <w:color w:val="auto"/>
      <w:sz w:val="22"/>
      <w:szCs w:val="22"/>
      <w:lang w:val="it-IT" w:eastAsia="zh-CN" w:bidi="ar-SA"/>
    </w:rPr>
  </w:style>
  <w:style w:type="paragraph" w:styleId="648">
    <w:name w:val="Normale (Web)"/>
    <w:basedOn w:val="647"/>
    <w:qFormat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numbering" w:styleId="649">
    <w:name w:val="WW8Num2"/>
    <w:qFormat/>
  </w:style>
  <w:style w:type="numbering" w:styleId="650">
    <w:name w:val="WW8Num3"/>
    <w:qFormat/>
  </w:style>
  <w:style w:type="numbering" w:styleId="651">
    <w:name w:val="WW8Num4"/>
    <w:qFormat/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nature.com/articles/s41467-022-28244-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it-IT</dc:language>
  <cp:revision>3</cp:revision>
  <dcterms:created xsi:type="dcterms:W3CDTF">2023-10-03T10:48:31Z</dcterms:created>
  <dcterms:modified xsi:type="dcterms:W3CDTF">2023-10-03T13:17:43Z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